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CB0" w:rsidRPr="00B7148C" w:rsidRDefault="00740DF1">
      <w:pPr>
        <w:rPr>
          <w:sz w:val="22"/>
          <w:u w:val="single"/>
        </w:rPr>
      </w:pPr>
      <w:r w:rsidRPr="00B7148C">
        <w:rPr>
          <w:sz w:val="22"/>
          <w:u w:val="single"/>
        </w:rPr>
        <w:t xml:space="preserve">Greater </w:t>
      </w:r>
      <w:r w:rsidR="00032B38" w:rsidRPr="00B7148C">
        <w:rPr>
          <w:sz w:val="22"/>
          <w:u w:val="single"/>
        </w:rPr>
        <w:t>Prairie Chicken Data</w:t>
      </w:r>
      <w:r w:rsidRPr="00B7148C">
        <w:rPr>
          <w:sz w:val="22"/>
          <w:u w:val="single"/>
        </w:rPr>
        <w:t xml:space="preserve"> Collection Assignment</w:t>
      </w:r>
    </w:p>
    <w:p w:rsidR="00F97016" w:rsidRPr="00B7148C" w:rsidRDefault="000E4DEE">
      <w:pPr>
        <w:rPr>
          <w:sz w:val="22"/>
        </w:rPr>
      </w:pPr>
      <w:r w:rsidRPr="00B7148C">
        <w:rPr>
          <w:sz w:val="22"/>
        </w:rPr>
        <w:t xml:space="preserve">We will collect several types of data. </w:t>
      </w:r>
    </w:p>
    <w:p w:rsidR="00032B38" w:rsidRPr="00B7148C" w:rsidRDefault="000E4DEE" w:rsidP="00B7148C">
      <w:pPr>
        <w:pStyle w:val="ListParagraph"/>
        <w:numPr>
          <w:ilvl w:val="0"/>
          <w:numId w:val="1"/>
        </w:numPr>
        <w:ind w:left="360"/>
        <w:rPr>
          <w:sz w:val="22"/>
        </w:rPr>
      </w:pPr>
      <w:r w:rsidRPr="00B7148C">
        <w:rPr>
          <w:sz w:val="22"/>
        </w:rPr>
        <w:t xml:space="preserve">The first is a census of the number of birds on the </w:t>
      </w:r>
      <w:proofErr w:type="spellStart"/>
      <w:r w:rsidRPr="00B7148C">
        <w:rPr>
          <w:sz w:val="22"/>
        </w:rPr>
        <w:t>lek</w:t>
      </w:r>
      <w:proofErr w:type="spellEnd"/>
      <w:r w:rsidRPr="00B7148C">
        <w:rPr>
          <w:sz w:val="22"/>
        </w:rPr>
        <w:t xml:space="preserve"> every 15 min. This will generate a graph like the one below (class data from 2006).</w:t>
      </w:r>
      <w:r w:rsidR="00F97016" w:rsidRPr="00B7148C">
        <w:rPr>
          <w:sz w:val="22"/>
        </w:rPr>
        <w:t xml:space="preserve"> Each person in each blind will do a count of all the birds they can see at each 15 min, and we’ll take average numbers later.</w:t>
      </w:r>
    </w:p>
    <w:p w:rsidR="00032B38" w:rsidRPr="00B7148C" w:rsidRDefault="000E4DEE">
      <w:pPr>
        <w:rPr>
          <w:sz w:val="22"/>
          <w:u w:val="single"/>
        </w:rPr>
      </w:pPr>
      <w:r w:rsidRPr="00B7148C">
        <w:rPr>
          <w:noProof/>
          <w:sz w:val="22"/>
          <w:u w:val="single"/>
        </w:rPr>
        <w:drawing>
          <wp:inline distT="0" distB="0" distL="0" distR="0">
            <wp:extent cx="5943600" cy="362712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7148C" w:rsidRDefault="00ED7944" w:rsidP="00B7148C">
      <w:pPr>
        <w:pStyle w:val="ListParagraph"/>
        <w:numPr>
          <w:ilvl w:val="0"/>
          <w:numId w:val="1"/>
        </w:numPr>
        <w:ind w:left="360"/>
        <w:rPr>
          <w:sz w:val="22"/>
        </w:rPr>
      </w:pPr>
      <w:r w:rsidRPr="00B7148C">
        <w:rPr>
          <w:sz w:val="22"/>
        </w:rPr>
        <w:t xml:space="preserve">The second type of data we will </w:t>
      </w:r>
      <w:r w:rsidR="002D3A03">
        <w:rPr>
          <w:sz w:val="22"/>
        </w:rPr>
        <w:t>map</w:t>
      </w:r>
      <w:r w:rsidRPr="00B7148C">
        <w:rPr>
          <w:sz w:val="22"/>
        </w:rPr>
        <w:t xml:space="preserve"> territory boundaries. </w:t>
      </w:r>
      <w:r w:rsidR="00CF0ACD" w:rsidRPr="00B7148C">
        <w:rPr>
          <w:sz w:val="22"/>
        </w:rPr>
        <w:t>Us</w:t>
      </w:r>
      <w:r w:rsidR="00404291">
        <w:rPr>
          <w:sz w:val="22"/>
        </w:rPr>
        <w:t>e</w:t>
      </w:r>
      <w:r w:rsidR="00CF0ACD" w:rsidRPr="00B7148C">
        <w:rPr>
          <w:sz w:val="22"/>
        </w:rPr>
        <w:t xml:space="preserve"> </w:t>
      </w:r>
      <w:r w:rsidR="002D3A03">
        <w:rPr>
          <w:sz w:val="22"/>
        </w:rPr>
        <w:t xml:space="preserve">behavioral interactions </w:t>
      </w:r>
      <w:r w:rsidR="00CF0ACD" w:rsidRPr="00B7148C">
        <w:rPr>
          <w:sz w:val="22"/>
        </w:rPr>
        <w:t>as reference points</w:t>
      </w:r>
      <w:r w:rsidR="002D3A03">
        <w:rPr>
          <w:sz w:val="22"/>
        </w:rPr>
        <w:t xml:space="preserve"> sketch </w:t>
      </w:r>
      <w:r w:rsidR="00CF0ACD" w:rsidRPr="00B7148C">
        <w:rPr>
          <w:sz w:val="22"/>
        </w:rPr>
        <w:t xml:space="preserve">the boundaries </w:t>
      </w:r>
      <w:r w:rsidR="00CF4A2C" w:rsidRPr="00B7148C">
        <w:rPr>
          <w:sz w:val="22"/>
        </w:rPr>
        <w:t xml:space="preserve">on the map of all the territories </w:t>
      </w:r>
      <w:r w:rsidR="00CF0ACD" w:rsidRPr="00B7148C">
        <w:rPr>
          <w:sz w:val="22"/>
        </w:rPr>
        <w:t xml:space="preserve">you can see from your blind, and number them. Discuss with others in your blind which territory is what so you all use the same numbering system. </w:t>
      </w:r>
      <w:r w:rsidR="006D36E7" w:rsidRPr="00B7148C">
        <w:rPr>
          <w:sz w:val="22"/>
        </w:rPr>
        <w:t>Discuss with each other which territories appear to be central and which are peripheral.</w:t>
      </w:r>
      <w:r w:rsidR="00740DF1" w:rsidRPr="00B7148C">
        <w:rPr>
          <w:sz w:val="22"/>
        </w:rPr>
        <w:t xml:space="preserve"> Are all territories similar in size? </w:t>
      </w:r>
      <w:r w:rsidR="00C51E7D" w:rsidRPr="00B7148C">
        <w:rPr>
          <w:sz w:val="22"/>
        </w:rPr>
        <w:t xml:space="preserve">Do you notice anything about the landscape that might suggests a “hot-spot” influence on </w:t>
      </w:r>
      <w:proofErr w:type="spellStart"/>
      <w:r w:rsidR="00C51E7D" w:rsidRPr="00B7148C">
        <w:rPr>
          <w:sz w:val="22"/>
        </w:rPr>
        <w:t>lek</w:t>
      </w:r>
      <w:proofErr w:type="spellEnd"/>
      <w:r w:rsidR="00C51E7D" w:rsidRPr="00B7148C">
        <w:rPr>
          <w:sz w:val="22"/>
        </w:rPr>
        <w:t xml:space="preserve"> location?</w:t>
      </w:r>
    </w:p>
    <w:p w:rsidR="00B7148C" w:rsidRDefault="00B7148C" w:rsidP="00B7148C">
      <w:pPr>
        <w:pStyle w:val="ListParagraph"/>
        <w:ind w:left="360"/>
        <w:rPr>
          <w:sz w:val="22"/>
        </w:rPr>
      </w:pPr>
    </w:p>
    <w:p w:rsidR="00CF0ACD" w:rsidRPr="00B7148C" w:rsidRDefault="00CF0ACD" w:rsidP="00B7148C">
      <w:pPr>
        <w:pStyle w:val="ListParagraph"/>
        <w:numPr>
          <w:ilvl w:val="0"/>
          <w:numId w:val="1"/>
        </w:numPr>
        <w:ind w:left="360"/>
        <w:rPr>
          <w:sz w:val="22"/>
        </w:rPr>
      </w:pPr>
      <w:r w:rsidRPr="00B7148C">
        <w:rPr>
          <w:sz w:val="22"/>
        </w:rPr>
        <w:t>The third type of data we will collect is male display behaviors. These are the ones we discussed in class:</w:t>
      </w:r>
      <w:r w:rsidR="009B0A99" w:rsidRPr="00B7148C">
        <w:rPr>
          <w:sz w:val="22"/>
        </w:rPr>
        <w:t xml:space="preserve"> </w:t>
      </w:r>
    </w:p>
    <w:p w:rsidR="007A038C" w:rsidRPr="00B7148C" w:rsidRDefault="007A038C" w:rsidP="007A038C">
      <w:pPr>
        <w:pStyle w:val="ListParagraph"/>
        <w:numPr>
          <w:ilvl w:val="1"/>
          <w:numId w:val="1"/>
        </w:numPr>
        <w:rPr>
          <w:sz w:val="22"/>
        </w:rPr>
      </w:pPr>
      <w:r w:rsidRPr="00B7148C">
        <w:rPr>
          <w:sz w:val="22"/>
        </w:rPr>
        <w:t>Raised “ear flap” feathers behind head</w:t>
      </w:r>
    </w:p>
    <w:p w:rsidR="007A038C" w:rsidRPr="00B7148C" w:rsidRDefault="007A038C" w:rsidP="007A038C">
      <w:pPr>
        <w:pStyle w:val="ListParagraph"/>
        <w:numPr>
          <w:ilvl w:val="1"/>
          <w:numId w:val="1"/>
        </w:numPr>
        <w:rPr>
          <w:sz w:val="22"/>
        </w:rPr>
      </w:pPr>
      <w:r w:rsidRPr="00B7148C">
        <w:rPr>
          <w:sz w:val="22"/>
        </w:rPr>
        <w:t>Inflation of orange throat sac</w:t>
      </w:r>
    </w:p>
    <w:p w:rsidR="007A038C" w:rsidRPr="00B7148C" w:rsidRDefault="007A038C" w:rsidP="007A038C">
      <w:pPr>
        <w:pStyle w:val="ListParagraph"/>
        <w:numPr>
          <w:ilvl w:val="1"/>
          <w:numId w:val="1"/>
        </w:numPr>
        <w:rPr>
          <w:sz w:val="22"/>
        </w:rPr>
      </w:pPr>
      <w:r w:rsidRPr="00B7148C">
        <w:rPr>
          <w:sz w:val="22"/>
        </w:rPr>
        <w:t>Bouts of choking, head bobbing motion</w:t>
      </w:r>
    </w:p>
    <w:p w:rsidR="007A038C" w:rsidRPr="00B7148C" w:rsidRDefault="007A038C" w:rsidP="007A038C">
      <w:pPr>
        <w:pStyle w:val="ListParagraph"/>
        <w:numPr>
          <w:ilvl w:val="1"/>
          <w:numId w:val="1"/>
        </w:numPr>
        <w:rPr>
          <w:sz w:val="22"/>
        </w:rPr>
      </w:pPr>
      <w:r w:rsidRPr="00B7148C">
        <w:rPr>
          <w:sz w:val="22"/>
        </w:rPr>
        <w:t>Foot stamping</w:t>
      </w:r>
    </w:p>
    <w:p w:rsidR="007A038C" w:rsidRDefault="007A038C" w:rsidP="007A038C">
      <w:pPr>
        <w:pStyle w:val="ListParagraph"/>
        <w:numPr>
          <w:ilvl w:val="1"/>
          <w:numId w:val="1"/>
        </w:numPr>
        <w:rPr>
          <w:sz w:val="22"/>
        </w:rPr>
      </w:pPr>
      <w:r w:rsidRPr="00B7148C">
        <w:rPr>
          <w:sz w:val="22"/>
        </w:rPr>
        <w:t>Claw jump (leaping up so that both feet leave the ground, while directing claws at opponent)</w:t>
      </w:r>
    </w:p>
    <w:p w:rsidR="00B7148C" w:rsidRPr="00B7148C" w:rsidRDefault="00B7148C" w:rsidP="00B7148C">
      <w:pPr>
        <w:pStyle w:val="ListParagraph"/>
        <w:ind w:left="1440"/>
        <w:rPr>
          <w:sz w:val="22"/>
        </w:rPr>
      </w:pPr>
    </w:p>
    <w:p w:rsidR="006D36E7" w:rsidRPr="00B7148C" w:rsidRDefault="006D36E7" w:rsidP="006D36E7">
      <w:pPr>
        <w:pStyle w:val="ListParagraph"/>
        <w:rPr>
          <w:sz w:val="22"/>
        </w:rPr>
      </w:pPr>
      <w:r w:rsidRPr="00B7148C">
        <w:rPr>
          <w:sz w:val="22"/>
        </w:rPr>
        <w:lastRenderedPageBreak/>
        <w:t xml:space="preserve">Each person in each blind will do 2, 10-min focal follows. A focal follow is where you focus on one individual and record </w:t>
      </w:r>
      <w:r w:rsidR="00CF4A2C" w:rsidRPr="00B7148C">
        <w:rPr>
          <w:sz w:val="22"/>
        </w:rPr>
        <w:t xml:space="preserve">the frequency </w:t>
      </w:r>
      <w:r w:rsidR="00664EF6" w:rsidRPr="00B7148C">
        <w:rPr>
          <w:sz w:val="22"/>
        </w:rPr>
        <w:t xml:space="preserve">with which </w:t>
      </w:r>
      <w:r w:rsidR="00CF4A2C" w:rsidRPr="00B7148C">
        <w:rPr>
          <w:sz w:val="22"/>
        </w:rPr>
        <w:t xml:space="preserve">each </w:t>
      </w:r>
      <w:r w:rsidRPr="00B7148C">
        <w:rPr>
          <w:sz w:val="22"/>
        </w:rPr>
        <w:t>behavior</w:t>
      </w:r>
      <w:r w:rsidR="00CF4A2C" w:rsidRPr="00B7148C">
        <w:rPr>
          <w:sz w:val="22"/>
        </w:rPr>
        <w:t xml:space="preserve"> </w:t>
      </w:r>
      <w:r w:rsidR="00664EF6" w:rsidRPr="00B7148C">
        <w:rPr>
          <w:sz w:val="22"/>
        </w:rPr>
        <w:t xml:space="preserve">is </w:t>
      </w:r>
      <w:r w:rsidR="00CF4A2C" w:rsidRPr="00B7148C">
        <w:rPr>
          <w:sz w:val="22"/>
        </w:rPr>
        <w:t>performed by the focal</w:t>
      </w:r>
      <w:r w:rsidRPr="00B7148C">
        <w:rPr>
          <w:sz w:val="22"/>
        </w:rPr>
        <w:t xml:space="preserve"> individual during the observation period. Do a focal follow of a </w:t>
      </w:r>
      <w:r w:rsidR="00664EF6" w:rsidRPr="00B7148C">
        <w:rPr>
          <w:sz w:val="22"/>
        </w:rPr>
        <w:t>central male and a second focal follow on a peripheral male. Coordinate your data recording with others in your blind to avoid</w:t>
      </w:r>
      <w:r w:rsidR="00820ECD" w:rsidRPr="00B7148C">
        <w:rPr>
          <w:sz w:val="22"/>
        </w:rPr>
        <w:t xml:space="preserve"> recording data from any male more than once. The data will eventually make a graph like the one below (class data from 2006).</w:t>
      </w:r>
    </w:p>
    <w:p w:rsidR="00820ECD" w:rsidRPr="00B7148C" w:rsidRDefault="00820ECD" w:rsidP="006D36E7">
      <w:pPr>
        <w:pStyle w:val="ListParagraph"/>
        <w:rPr>
          <w:sz w:val="22"/>
        </w:rPr>
      </w:pPr>
    </w:p>
    <w:p w:rsidR="00820ECD" w:rsidRPr="00B7148C" w:rsidRDefault="00820ECD" w:rsidP="00820ECD">
      <w:pPr>
        <w:pStyle w:val="ListParagraph"/>
        <w:ind w:left="0"/>
        <w:rPr>
          <w:sz w:val="22"/>
        </w:rPr>
      </w:pPr>
      <w:r w:rsidRPr="00B7148C">
        <w:rPr>
          <w:noProof/>
          <w:sz w:val="22"/>
        </w:rPr>
        <w:drawing>
          <wp:inline distT="0" distB="0" distL="0" distR="0">
            <wp:extent cx="5943600" cy="4317365"/>
            <wp:effectExtent l="0" t="0" r="0" b="0"/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20ECD" w:rsidRPr="00B7148C" w:rsidRDefault="00820ECD" w:rsidP="00820ECD">
      <w:pPr>
        <w:pStyle w:val="ListParagraph"/>
        <w:rPr>
          <w:sz w:val="22"/>
        </w:rPr>
      </w:pPr>
    </w:p>
    <w:p w:rsidR="009B0A99" w:rsidRDefault="00C51E7D" w:rsidP="00820ECD">
      <w:pPr>
        <w:pStyle w:val="ListParagraph"/>
        <w:rPr>
          <w:sz w:val="22"/>
        </w:rPr>
      </w:pPr>
      <w:r w:rsidRPr="00B7148C">
        <w:rPr>
          <w:sz w:val="22"/>
        </w:rPr>
        <w:t xml:space="preserve">Knowing what you know about agonistic behavior and escalation of contests </w:t>
      </w:r>
      <w:r w:rsidR="00BA19C3" w:rsidRPr="00B7148C">
        <w:rPr>
          <w:sz w:val="22"/>
        </w:rPr>
        <w:t>that determine resource holding power, do your behavioral data tell you anything about the males’ perception of relative reproductive reward of central versus peripheral territories?</w:t>
      </w:r>
    </w:p>
    <w:p w:rsidR="00B7148C" w:rsidRPr="00B7148C" w:rsidRDefault="00B7148C" w:rsidP="00820ECD">
      <w:pPr>
        <w:pStyle w:val="ListParagraph"/>
        <w:rPr>
          <w:sz w:val="22"/>
        </w:rPr>
      </w:pPr>
    </w:p>
    <w:p w:rsidR="006868B9" w:rsidRDefault="006868B9" w:rsidP="006868B9">
      <w:pPr>
        <w:pStyle w:val="ListParagraph"/>
        <w:numPr>
          <w:ilvl w:val="0"/>
          <w:numId w:val="1"/>
        </w:numPr>
        <w:rPr>
          <w:sz w:val="22"/>
        </w:rPr>
      </w:pPr>
      <w:r w:rsidRPr="00B7148C">
        <w:rPr>
          <w:sz w:val="22"/>
        </w:rPr>
        <w:t xml:space="preserve">When females visit the </w:t>
      </w:r>
      <w:proofErr w:type="spellStart"/>
      <w:r w:rsidRPr="00B7148C">
        <w:rPr>
          <w:sz w:val="22"/>
        </w:rPr>
        <w:t>lek</w:t>
      </w:r>
      <w:proofErr w:type="spellEnd"/>
      <w:r w:rsidRPr="00B7148C">
        <w:rPr>
          <w:sz w:val="22"/>
        </w:rPr>
        <w:t xml:space="preserve">, record which territories they visit. Are some </w:t>
      </w:r>
      <w:r w:rsidR="00CD5761">
        <w:rPr>
          <w:sz w:val="22"/>
        </w:rPr>
        <w:t>males/</w:t>
      </w:r>
      <w:r w:rsidRPr="00B7148C">
        <w:rPr>
          <w:sz w:val="22"/>
        </w:rPr>
        <w:t>territories consistently favored while other</w:t>
      </w:r>
      <w:r w:rsidR="00B7148C" w:rsidRPr="00B7148C">
        <w:rPr>
          <w:sz w:val="22"/>
        </w:rPr>
        <w:t xml:space="preserve"> </w:t>
      </w:r>
      <w:r w:rsidR="00CD5761">
        <w:rPr>
          <w:sz w:val="22"/>
        </w:rPr>
        <w:t>males/</w:t>
      </w:r>
      <w:r w:rsidR="00B7148C" w:rsidRPr="00B7148C">
        <w:rPr>
          <w:sz w:val="22"/>
        </w:rPr>
        <w:t>territories</w:t>
      </w:r>
      <w:r w:rsidRPr="00B7148C">
        <w:rPr>
          <w:sz w:val="22"/>
        </w:rPr>
        <w:t xml:space="preserve"> </w:t>
      </w:r>
      <w:r w:rsidR="00B7148C" w:rsidRPr="00B7148C">
        <w:rPr>
          <w:sz w:val="22"/>
        </w:rPr>
        <w:t xml:space="preserve">are </w:t>
      </w:r>
      <w:r w:rsidRPr="00B7148C">
        <w:rPr>
          <w:sz w:val="22"/>
        </w:rPr>
        <w:t xml:space="preserve">completely ignored? </w:t>
      </w:r>
    </w:p>
    <w:p w:rsidR="00CD5761" w:rsidRDefault="00CD5761" w:rsidP="00CD5761">
      <w:pPr>
        <w:rPr>
          <w:sz w:val="22"/>
        </w:rPr>
      </w:pPr>
    </w:p>
    <w:p w:rsidR="00404291" w:rsidRDefault="00404291" w:rsidP="00CD5761">
      <w:pPr>
        <w:rPr>
          <w:sz w:val="22"/>
        </w:rPr>
      </w:pPr>
    </w:p>
    <w:p w:rsidR="00084D15" w:rsidRDefault="00084D15">
      <w:pPr>
        <w:rPr>
          <w:sz w:val="22"/>
        </w:rPr>
      </w:pPr>
      <w:r>
        <w:rPr>
          <w:sz w:val="22"/>
        </w:rPr>
        <w:br w:type="page"/>
      </w:r>
    </w:p>
    <w:p w:rsidR="007F6849" w:rsidRDefault="007F6849" w:rsidP="00CD5761">
      <w:pPr>
        <w:rPr>
          <w:sz w:val="22"/>
        </w:rPr>
      </w:pPr>
      <w:bookmarkStart w:id="0" w:name="_GoBack"/>
      <w:bookmarkEnd w:id="0"/>
      <w:r>
        <w:rPr>
          <w:sz w:val="22"/>
        </w:rPr>
        <w:lastRenderedPageBreak/>
        <w:t xml:space="preserve">Report </w:t>
      </w:r>
      <w:r w:rsidR="00F5680D">
        <w:rPr>
          <w:sz w:val="22"/>
        </w:rPr>
        <w:t>Rubric – total = 2</w:t>
      </w:r>
      <w:r w:rsidR="008C2C69">
        <w:rPr>
          <w:sz w:val="22"/>
        </w:rPr>
        <w:t>0 points</w:t>
      </w:r>
    </w:p>
    <w:p w:rsidR="007F6849" w:rsidRDefault="007F6849" w:rsidP="00CD5761">
      <w:pPr>
        <w:rPr>
          <w:sz w:val="22"/>
        </w:rPr>
      </w:pPr>
      <w:r>
        <w:rPr>
          <w:sz w:val="22"/>
        </w:rPr>
        <w:t>Title</w:t>
      </w:r>
      <w:r w:rsidR="004309ED">
        <w:rPr>
          <w:sz w:val="22"/>
        </w:rPr>
        <w:t xml:space="preserve"> (1) – descriptive and succinct</w:t>
      </w:r>
    </w:p>
    <w:p w:rsidR="00CB5D5B" w:rsidRDefault="007F6849" w:rsidP="00CD5761">
      <w:pPr>
        <w:rPr>
          <w:sz w:val="22"/>
        </w:rPr>
      </w:pPr>
      <w:r>
        <w:rPr>
          <w:sz w:val="22"/>
        </w:rPr>
        <w:t>Introduction</w:t>
      </w:r>
      <w:r w:rsidR="004309ED">
        <w:rPr>
          <w:sz w:val="22"/>
        </w:rPr>
        <w:t xml:space="preserve"> (</w:t>
      </w:r>
      <w:r w:rsidR="00CB5D5B">
        <w:rPr>
          <w:sz w:val="22"/>
        </w:rPr>
        <w:t>5</w:t>
      </w:r>
      <w:r w:rsidR="004309ED">
        <w:rPr>
          <w:sz w:val="22"/>
        </w:rPr>
        <w:t xml:space="preserve">) – frame the research question: </w:t>
      </w:r>
    </w:p>
    <w:p w:rsidR="00CB5D5B" w:rsidRDefault="004309ED" w:rsidP="00CB5D5B">
      <w:pPr>
        <w:pStyle w:val="ListParagraph"/>
        <w:numPr>
          <w:ilvl w:val="0"/>
          <w:numId w:val="2"/>
        </w:numPr>
        <w:rPr>
          <w:sz w:val="22"/>
        </w:rPr>
      </w:pPr>
      <w:r w:rsidRPr="00CB5D5B">
        <w:rPr>
          <w:sz w:val="22"/>
        </w:rPr>
        <w:t xml:space="preserve">What is </w:t>
      </w:r>
      <w:proofErr w:type="spellStart"/>
      <w:r w:rsidRPr="00CB5D5B">
        <w:rPr>
          <w:sz w:val="22"/>
        </w:rPr>
        <w:t>lek</w:t>
      </w:r>
      <w:proofErr w:type="spellEnd"/>
      <w:r w:rsidRPr="00CB5D5B">
        <w:rPr>
          <w:sz w:val="22"/>
        </w:rPr>
        <w:t xml:space="preserve"> polygyny? </w:t>
      </w:r>
    </w:p>
    <w:p w:rsidR="00CB5D5B" w:rsidRDefault="004309ED" w:rsidP="00CB5D5B">
      <w:pPr>
        <w:pStyle w:val="ListParagraph"/>
        <w:numPr>
          <w:ilvl w:val="0"/>
          <w:numId w:val="2"/>
        </w:numPr>
        <w:rPr>
          <w:sz w:val="22"/>
        </w:rPr>
      </w:pPr>
      <w:r w:rsidRPr="00CB5D5B">
        <w:rPr>
          <w:sz w:val="22"/>
        </w:rPr>
        <w:t xml:space="preserve">Is it unique to prairie chickens? </w:t>
      </w:r>
    </w:p>
    <w:p w:rsidR="00CB5D5B" w:rsidRDefault="00114273" w:rsidP="00CB5D5B">
      <w:pPr>
        <w:pStyle w:val="ListParagraph"/>
        <w:numPr>
          <w:ilvl w:val="0"/>
          <w:numId w:val="2"/>
        </w:numPr>
        <w:rPr>
          <w:sz w:val="22"/>
        </w:rPr>
      </w:pPr>
      <w:r w:rsidRPr="00CB5D5B">
        <w:rPr>
          <w:sz w:val="22"/>
        </w:rPr>
        <w:t xml:space="preserve">What is known about the reproductive ecology of this species? </w:t>
      </w:r>
    </w:p>
    <w:p w:rsidR="00CB5D5B" w:rsidRDefault="00114273" w:rsidP="00CB5D5B">
      <w:pPr>
        <w:pStyle w:val="ListParagraph"/>
        <w:numPr>
          <w:ilvl w:val="0"/>
          <w:numId w:val="2"/>
        </w:numPr>
        <w:rPr>
          <w:sz w:val="22"/>
        </w:rPr>
      </w:pPr>
      <w:r w:rsidRPr="00CB5D5B">
        <w:rPr>
          <w:sz w:val="22"/>
        </w:rPr>
        <w:t xml:space="preserve">Why </w:t>
      </w:r>
      <w:proofErr w:type="gramStart"/>
      <w:r w:rsidRPr="00CB5D5B">
        <w:rPr>
          <w:sz w:val="22"/>
        </w:rPr>
        <w:t>is reproductive activity</w:t>
      </w:r>
      <w:proofErr w:type="gramEnd"/>
      <w:r w:rsidRPr="00CB5D5B">
        <w:rPr>
          <w:sz w:val="22"/>
        </w:rPr>
        <w:t xml:space="preserve"> usually found in the central territories? </w:t>
      </w:r>
    </w:p>
    <w:p w:rsidR="007F6849" w:rsidRPr="00CB5D5B" w:rsidRDefault="00114273" w:rsidP="00CB5D5B">
      <w:pPr>
        <w:pStyle w:val="ListParagraph"/>
        <w:numPr>
          <w:ilvl w:val="0"/>
          <w:numId w:val="2"/>
        </w:numPr>
        <w:rPr>
          <w:sz w:val="22"/>
        </w:rPr>
      </w:pPr>
      <w:r w:rsidRPr="00CB5D5B">
        <w:rPr>
          <w:sz w:val="22"/>
        </w:rPr>
        <w:t xml:space="preserve">State our class hypothesis: central territories have higher reproductive value and therefore </w:t>
      </w:r>
      <w:proofErr w:type="spellStart"/>
      <w:r w:rsidRPr="00CB5D5B">
        <w:rPr>
          <w:sz w:val="22"/>
        </w:rPr>
        <w:t>intrasexual</w:t>
      </w:r>
      <w:proofErr w:type="spellEnd"/>
      <w:r w:rsidRPr="00CB5D5B">
        <w:rPr>
          <w:sz w:val="22"/>
        </w:rPr>
        <w:t xml:space="preserve"> contests should escalate to physical fighting more frequently in central territories than in peripheral territories.</w:t>
      </w:r>
    </w:p>
    <w:p w:rsidR="00CB5D5B" w:rsidRDefault="007F6849" w:rsidP="00CD5761">
      <w:pPr>
        <w:rPr>
          <w:sz w:val="22"/>
        </w:rPr>
      </w:pPr>
      <w:r>
        <w:rPr>
          <w:sz w:val="22"/>
        </w:rPr>
        <w:t>Materials and Methods</w:t>
      </w:r>
      <w:r w:rsidR="00CB76E6">
        <w:rPr>
          <w:sz w:val="22"/>
        </w:rPr>
        <w:t xml:space="preserve"> </w:t>
      </w:r>
      <w:r w:rsidR="00D31C19">
        <w:rPr>
          <w:sz w:val="22"/>
        </w:rPr>
        <w:t>(2)</w:t>
      </w:r>
    </w:p>
    <w:p w:rsidR="007F6849" w:rsidRPr="00CB5D5B" w:rsidRDefault="00CB76E6" w:rsidP="00CB5D5B">
      <w:pPr>
        <w:pStyle w:val="ListParagraph"/>
        <w:numPr>
          <w:ilvl w:val="0"/>
          <w:numId w:val="2"/>
        </w:numPr>
        <w:rPr>
          <w:sz w:val="22"/>
        </w:rPr>
      </w:pPr>
      <w:proofErr w:type="gramStart"/>
      <w:r w:rsidRPr="00CB5D5B">
        <w:rPr>
          <w:sz w:val="22"/>
        </w:rPr>
        <w:t>describe</w:t>
      </w:r>
      <w:proofErr w:type="gramEnd"/>
      <w:r w:rsidRPr="00CB5D5B">
        <w:rPr>
          <w:sz w:val="22"/>
        </w:rPr>
        <w:t xml:space="preserve"> study site (The Nature Conservancy blue stem prairie, near Glyndon, MN), including </w:t>
      </w:r>
      <w:r w:rsidRPr="006D6ECD">
        <w:rPr>
          <w:b/>
          <w:sz w:val="22"/>
        </w:rPr>
        <w:t>latitude and longitude</w:t>
      </w:r>
      <w:r w:rsidRPr="00CB5D5B">
        <w:rPr>
          <w:sz w:val="22"/>
        </w:rPr>
        <w:t>; describe the date and time of the observations; describe the behaviors quantified.</w:t>
      </w:r>
    </w:p>
    <w:p w:rsidR="00D31C19" w:rsidRDefault="007F6849" w:rsidP="00CD5761">
      <w:pPr>
        <w:rPr>
          <w:sz w:val="22"/>
        </w:rPr>
      </w:pPr>
      <w:r>
        <w:rPr>
          <w:sz w:val="22"/>
        </w:rPr>
        <w:t>Results</w:t>
      </w:r>
      <w:r w:rsidR="00CB76E6">
        <w:rPr>
          <w:sz w:val="22"/>
        </w:rPr>
        <w:t xml:space="preserve"> (</w:t>
      </w:r>
      <w:r w:rsidR="00FE67B4">
        <w:rPr>
          <w:sz w:val="22"/>
        </w:rPr>
        <w:t>5</w:t>
      </w:r>
      <w:r w:rsidR="00CB76E6">
        <w:rPr>
          <w:sz w:val="22"/>
        </w:rPr>
        <w:t xml:space="preserve">) </w:t>
      </w:r>
    </w:p>
    <w:p w:rsidR="007F6849" w:rsidRDefault="00443E2D" w:rsidP="00D31C19">
      <w:pPr>
        <w:pStyle w:val="ListParagraph"/>
        <w:numPr>
          <w:ilvl w:val="0"/>
          <w:numId w:val="2"/>
        </w:numPr>
        <w:rPr>
          <w:sz w:val="22"/>
        </w:rPr>
      </w:pPr>
      <w:r w:rsidRPr="00D31C19">
        <w:rPr>
          <w:sz w:val="22"/>
        </w:rPr>
        <w:t xml:space="preserve">Start with a verbal description of the findings, </w:t>
      </w:r>
      <w:proofErr w:type="gramStart"/>
      <w:r w:rsidRPr="00D31C19">
        <w:rPr>
          <w:sz w:val="22"/>
        </w:rPr>
        <w:t>then</w:t>
      </w:r>
      <w:proofErr w:type="gramEnd"/>
      <w:r w:rsidRPr="00D31C19">
        <w:rPr>
          <w:sz w:val="22"/>
        </w:rPr>
        <w:t xml:space="preserve"> cite the figure that contains findings. </w:t>
      </w:r>
      <w:r w:rsidR="006D6ECD">
        <w:rPr>
          <w:sz w:val="22"/>
        </w:rPr>
        <w:t>(1</w:t>
      </w:r>
      <w:r w:rsidR="00D31C19">
        <w:rPr>
          <w:sz w:val="22"/>
        </w:rPr>
        <w:t>)</w:t>
      </w:r>
    </w:p>
    <w:p w:rsidR="006D6ECD" w:rsidRPr="00D31C19" w:rsidRDefault="006D6ECD" w:rsidP="006D6ECD">
      <w:pPr>
        <w:pStyle w:val="ListParagraph"/>
        <w:numPr>
          <w:ilvl w:val="0"/>
          <w:numId w:val="2"/>
        </w:numPr>
        <w:rPr>
          <w:sz w:val="22"/>
        </w:rPr>
      </w:pPr>
      <w:r>
        <w:rPr>
          <w:sz w:val="22"/>
        </w:rPr>
        <w:t>Five t–tests comparing behavior of central versus peripheral males (1)</w:t>
      </w:r>
    </w:p>
    <w:p w:rsidR="00443E2D" w:rsidRDefault="00084D15" w:rsidP="00CD5761">
      <w:pPr>
        <w:pStyle w:val="ListParagraph"/>
        <w:numPr>
          <w:ilvl w:val="0"/>
          <w:numId w:val="2"/>
        </w:numPr>
        <w:rPr>
          <w:sz w:val="22"/>
        </w:rPr>
      </w:pPr>
      <w:r>
        <w:rPr>
          <w:sz w:val="22"/>
        </w:rPr>
        <w:t>Fig 1</w:t>
      </w:r>
      <w:r w:rsidR="00443E2D" w:rsidRPr="00D31C19">
        <w:rPr>
          <w:sz w:val="22"/>
        </w:rPr>
        <w:t xml:space="preserve"> = census of bird numbers </w:t>
      </w:r>
      <w:r w:rsidR="00D31C19">
        <w:rPr>
          <w:sz w:val="22"/>
        </w:rPr>
        <w:t xml:space="preserve">for each 15-min category </w:t>
      </w:r>
      <w:r w:rsidR="006D6ECD">
        <w:rPr>
          <w:sz w:val="22"/>
        </w:rPr>
        <w:t xml:space="preserve">for all three days surveyed </w:t>
      </w:r>
      <w:r w:rsidR="00D31C19">
        <w:rPr>
          <w:sz w:val="22"/>
        </w:rPr>
        <w:t>(1)</w:t>
      </w:r>
      <w:r>
        <w:rPr>
          <w:sz w:val="22"/>
        </w:rPr>
        <w:br/>
        <w:t>Fig 2</w:t>
      </w:r>
      <w:r w:rsidR="00443E2D" w:rsidRPr="00D31C19">
        <w:rPr>
          <w:sz w:val="22"/>
        </w:rPr>
        <w:t xml:space="preserve"> = Comparison of display behaviors for males in central versus peripheral territories</w:t>
      </w:r>
      <w:r w:rsidR="00D31C19">
        <w:rPr>
          <w:sz w:val="22"/>
        </w:rPr>
        <w:t xml:space="preserve"> </w:t>
      </w:r>
      <w:r w:rsidR="006D6ECD">
        <w:rPr>
          <w:sz w:val="22"/>
        </w:rPr>
        <w:t xml:space="preserve">using class data </w:t>
      </w:r>
      <w:r w:rsidR="00D31C19">
        <w:rPr>
          <w:sz w:val="22"/>
        </w:rPr>
        <w:t>(1)</w:t>
      </w:r>
    </w:p>
    <w:p w:rsidR="00FE67B4" w:rsidRDefault="007F6849" w:rsidP="00CD5761">
      <w:pPr>
        <w:rPr>
          <w:sz w:val="22"/>
        </w:rPr>
      </w:pPr>
      <w:r>
        <w:rPr>
          <w:sz w:val="22"/>
        </w:rPr>
        <w:t>Discussion</w:t>
      </w:r>
      <w:r w:rsidR="00F5680D">
        <w:rPr>
          <w:sz w:val="22"/>
        </w:rPr>
        <w:t xml:space="preserve"> (3</w:t>
      </w:r>
      <w:r w:rsidR="001F0C84">
        <w:rPr>
          <w:sz w:val="22"/>
        </w:rPr>
        <w:t>)</w:t>
      </w:r>
    </w:p>
    <w:p w:rsidR="00FE67B4" w:rsidRDefault="001F0C84" w:rsidP="00FE67B4">
      <w:pPr>
        <w:pStyle w:val="ListParagraph"/>
        <w:numPr>
          <w:ilvl w:val="0"/>
          <w:numId w:val="2"/>
        </w:numPr>
        <w:rPr>
          <w:sz w:val="22"/>
        </w:rPr>
      </w:pPr>
      <w:r w:rsidRPr="00FE67B4">
        <w:rPr>
          <w:sz w:val="22"/>
        </w:rPr>
        <w:t xml:space="preserve">Restate the main findings. </w:t>
      </w:r>
    </w:p>
    <w:p w:rsidR="00FE67B4" w:rsidRDefault="001F0C84" w:rsidP="00FE67B4">
      <w:pPr>
        <w:pStyle w:val="ListParagraph"/>
        <w:numPr>
          <w:ilvl w:val="0"/>
          <w:numId w:val="2"/>
        </w:numPr>
        <w:rPr>
          <w:sz w:val="22"/>
        </w:rPr>
      </w:pPr>
      <w:r w:rsidRPr="00FE67B4">
        <w:rPr>
          <w:sz w:val="22"/>
        </w:rPr>
        <w:t xml:space="preserve">Did the data support </w:t>
      </w:r>
      <w:r w:rsidR="004665DD" w:rsidRPr="00FE67B4">
        <w:rPr>
          <w:sz w:val="22"/>
        </w:rPr>
        <w:t xml:space="preserve">the </w:t>
      </w:r>
      <w:r w:rsidRPr="00FE67B4">
        <w:rPr>
          <w:sz w:val="22"/>
        </w:rPr>
        <w:t>hypothesis?</w:t>
      </w:r>
      <w:r w:rsidR="004665DD" w:rsidRPr="00FE67B4">
        <w:rPr>
          <w:sz w:val="22"/>
        </w:rPr>
        <w:t xml:space="preserve"> </w:t>
      </w:r>
    </w:p>
    <w:p w:rsidR="007F6849" w:rsidRPr="00FE67B4" w:rsidRDefault="004665DD" w:rsidP="00FE67B4">
      <w:pPr>
        <w:pStyle w:val="ListParagraph"/>
        <w:numPr>
          <w:ilvl w:val="0"/>
          <w:numId w:val="2"/>
        </w:numPr>
        <w:rPr>
          <w:sz w:val="22"/>
        </w:rPr>
      </w:pPr>
      <w:r w:rsidRPr="00FE67B4">
        <w:rPr>
          <w:sz w:val="22"/>
        </w:rPr>
        <w:t>Are the data similar to what othe</w:t>
      </w:r>
      <w:r w:rsidR="00FE67B4">
        <w:rPr>
          <w:sz w:val="22"/>
        </w:rPr>
        <w:t>r studies have found</w:t>
      </w:r>
      <w:r w:rsidRPr="00FE67B4">
        <w:rPr>
          <w:sz w:val="22"/>
        </w:rPr>
        <w:t xml:space="preserve">? </w:t>
      </w:r>
      <w:r w:rsidR="00960B80">
        <w:rPr>
          <w:sz w:val="22"/>
        </w:rPr>
        <w:t xml:space="preserve">Cite at least two </w:t>
      </w:r>
      <w:r w:rsidR="00960B80">
        <w:rPr>
          <w:b/>
          <w:sz w:val="22"/>
        </w:rPr>
        <w:t>primary</w:t>
      </w:r>
      <w:r w:rsidR="00960B80">
        <w:rPr>
          <w:sz w:val="22"/>
        </w:rPr>
        <w:t xml:space="preserve"> sources.</w:t>
      </w:r>
    </w:p>
    <w:p w:rsidR="00FE67B4" w:rsidRDefault="007F6849" w:rsidP="00CD5761">
      <w:pPr>
        <w:rPr>
          <w:sz w:val="22"/>
        </w:rPr>
      </w:pPr>
      <w:r>
        <w:rPr>
          <w:sz w:val="22"/>
        </w:rPr>
        <w:t>References</w:t>
      </w:r>
      <w:r w:rsidR="001F0C84">
        <w:rPr>
          <w:sz w:val="22"/>
        </w:rPr>
        <w:t xml:space="preserve"> (</w:t>
      </w:r>
      <w:r w:rsidR="00FE67B4">
        <w:rPr>
          <w:sz w:val="22"/>
        </w:rPr>
        <w:t>2</w:t>
      </w:r>
      <w:r w:rsidR="001F0C84">
        <w:rPr>
          <w:sz w:val="22"/>
        </w:rPr>
        <w:t xml:space="preserve">) </w:t>
      </w:r>
    </w:p>
    <w:p w:rsidR="00FE67B4" w:rsidRDefault="001F0C84" w:rsidP="00CD5761">
      <w:pPr>
        <w:pStyle w:val="ListParagraph"/>
        <w:numPr>
          <w:ilvl w:val="0"/>
          <w:numId w:val="2"/>
        </w:numPr>
        <w:rPr>
          <w:sz w:val="22"/>
        </w:rPr>
      </w:pPr>
      <w:proofErr w:type="gramStart"/>
      <w:r w:rsidRPr="00FE67B4">
        <w:rPr>
          <w:sz w:val="22"/>
        </w:rPr>
        <w:t>at</w:t>
      </w:r>
      <w:proofErr w:type="gramEnd"/>
      <w:r w:rsidRPr="00FE67B4">
        <w:rPr>
          <w:sz w:val="22"/>
        </w:rPr>
        <w:t xml:space="preserve"> least </w:t>
      </w:r>
      <w:r w:rsidR="00FE67B4" w:rsidRPr="00FE67B4">
        <w:rPr>
          <w:sz w:val="22"/>
        </w:rPr>
        <w:t>2</w:t>
      </w:r>
      <w:r w:rsidRPr="00FE67B4">
        <w:rPr>
          <w:sz w:val="22"/>
        </w:rPr>
        <w:t xml:space="preserve"> peer-reviewed sources in the format convention used by </w:t>
      </w:r>
      <w:r w:rsidRPr="00FE67B4">
        <w:rPr>
          <w:i/>
          <w:sz w:val="22"/>
        </w:rPr>
        <w:t xml:space="preserve">Animal </w:t>
      </w:r>
      <w:proofErr w:type="spellStart"/>
      <w:r w:rsidRPr="00FE67B4">
        <w:rPr>
          <w:i/>
          <w:sz w:val="22"/>
        </w:rPr>
        <w:t>Behaviour</w:t>
      </w:r>
      <w:proofErr w:type="spellEnd"/>
      <w:r w:rsidRPr="00FE67B4">
        <w:rPr>
          <w:sz w:val="22"/>
        </w:rPr>
        <w:t xml:space="preserve">. </w:t>
      </w:r>
    </w:p>
    <w:p w:rsidR="00F5680D" w:rsidRDefault="00CF6A20" w:rsidP="00FE67B4">
      <w:pPr>
        <w:rPr>
          <w:sz w:val="22"/>
        </w:rPr>
      </w:pPr>
      <w:r w:rsidRPr="00FE67B4">
        <w:rPr>
          <w:sz w:val="22"/>
        </w:rPr>
        <w:t>General readability</w:t>
      </w:r>
      <w:r w:rsidR="00F5680D">
        <w:rPr>
          <w:sz w:val="22"/>
        </w:rPr>
        <w:t xml:space="preserve"> (2)</w:t>
      </w:r>
    </w:p>
    <w:p w:rsidR="00CF6A20" w:rsidRPr="00F5680D" w:rsidRDefault="00CF6A20" w:rsidP="00F5680D">
      <w:pPr>
        <w:pStyle w:val="ListParagraph"/>
        <w:numPr>
          <w:ilvl w:val="0"/>
          <w:numId w:val="2"/>
        </w:numPr>
        <w:rPr>
          <w:sz w:val="22"/>
        </w:rPr>
      </w:pPr>
      <w:proofErr w:type="gramStart"/>
      <w:r w:rsidRPr="00F5680D">
        <w:rPr>
          <w:sz w:val="22"/>
        </w:rPr>
        <w:t>flow</w:t>
      </w:r>
      <w:proofErr w:type="gramEnd"/>
      <w:r w:rsidRPr="00F5680D">
        <w:rPr>
          <w:sz w:val="22"/>
        </w:rPr>
        <w:t>, grammar and syntax</w:t>
      </w:r>
      <w:r w:rsidR="00F5680D">
        <w:rPr>
          <w:sz w:val="22"/>
        </w:rPr>
        <w:t>:</w:t>
      </w:r>
      <w:r w:rsidRPr="00F5680D">
        <w:rPr>
          <w:sz w:val="22"/>
        </w:rPr>
        <w:t xml:space="preserve">  proofread your work carefully before turning it in.</w:t>
      </w:r>
    </w:p>
    <w:sectPr w:rsidR="00CF6A20" w:rsidRPr="00F5680D" w:rsidSect="006E0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D079F"/>
    <w:multiLevelType w:val="hybridMultilevel"/>
    <w:tmpl w:val="272E5D02"/>
    <w:lvl w:ilvl="0" w:tplc="3F120D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EC5E31"/>
    <w:multiLevelType w:val="hybridMultilevel"/>
    <w:tmpl w:val="B8A2A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B38"/>
    <w:rsid w:val="00032B38"/>
    <w:rsid w:val="00084D15"/>
    <w:rsid w:val="000D6494"/>
    <w:rsid w:val="000E4DEE"/>
    <w:rsid w:val="00114273"/>
    <w:rsid w:val="001E6271"/>
    <w:rsid w:val="001F0C84"/>
    <w:rsid w:val="002D3A03"/>
    <w:rsid w:val="003752E4"/>
    <w:rsid w:val="00404291"/>
    <w:rsid w:val="004309ED"/>
    <w:rsid w:val="00443E2D"/>
    <w:rsid w:val="004665DD"/>
    <w:rsid w:val="00664EF6"/>
    <w:rsid w:val="00676DC8"/>
    <w:rsid w:val="006868B9"/>
    <w:rsid w:val="006D36E7"/>
    <w:rsid w:val="006D6ECD"/>
    <w:rsid w:val="006E0CB0"/>
    <w:rsid w:val="00740DF1"/>
    <w:rsid w:val="00771A23"/>
    <w:rsid w:val="007A038C"/>
    <w:rsid w:val="007C643E"/>
    <w:rsid w:val="007F6849"/>
    <w:rsid w:val="00820ECD"/>
    <w:rsid w:val="0088461B"/>
    <w:rsid w:val="008C2C69"/>
    <w:rsid w:val="00960B80"/>
    <w:rsid w:val="009B0A99"/>
    <w:rsid w:val="00B7148C"/>
    <w:rsid w:val="00BA19C3"/>
    <w:rsid w:val="00C32BE7"/>
    <w:rsid w:val="00C51E7D"/>
    <w:rsid w:val="00C57D3E"/>
    <w:rsid w:val="00CB5D5B"/>
    <w:rsid w:val="00CB76E6"/>
    <w:rsid w:val="00CD5761"/>
    <w:rsid w:val="00CF0ACD"/>
    <w:rsid w:val="00CF4A2C"/>
    <w:rsid w:val="00CF6A20"/>
    <w:rsid w:val="00D31C19"/>
    <w:rsid w:val="00ED7944"/>
    <w:rsid w:val="00F37082"/>
    <w:rsid w:val="00F5680D"/>
    <w:rsid w:val="00F82467"/>
    <w:rsid w:val="00F9143E"/>
    <w:rsid w:val="00F97016"/>
    <w:rsid w:val="00FE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C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D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70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C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D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7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wisenden\My%20Documents\Animal%20Behaviour\pchicken%20data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wisenden\My%20Documents\Animal%20Behaviour\pchicken%20data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0785786392085601"/>
          <c:y val="5.3833605220228439E-2"/>
          <c:w val="0.77882360858738831"/>
          <c:h val="0.78140293637846669"/>
        </c:manualLayout>
      </c:layout>
      <c:lineChart>
        <c:grouping val="standard"/>
        <c:varyColors val="0"/>
        <c:ser>
          <c:idx val="0"/>
          <c:order val="0"/>
          <c:tx>
            <c:strRef>
              <c:f>'work data'!$J$15</c:f>
              <c:strCache>
                <c:ptCount val="1"/>
                <c:pt idx="0">
                  <c:v>Males</c:v>
                </c:pt>
              </c:strCache>
            </c:strRef>
          </c:tx>
          <c:spPr>
            <a:ln w="38100">
              <a:solidFill>
                <a:schemeClr val="tx1"/>
              </a:solidFill>
              <a:prstDash val="solid"/>
            </a:ln>
          </c:spPr>
          <c:marker>
            <c:symbol val="circle"/>
            <c:size val="12"/>
            <c:spPr>
              <a:solidFill>
                <a:schemeClr val="bg1"/>
              </a:solidFill>
              <a:ln>
                <a:solidFill>
                  <a:schemeClr val="tx1"/>
                </a:solidFill>
                <a:prstDash val="solid"/>
              </a:ln>
            </c:spPr>
          </c:marker>
          <c:cat>
            <c:numRef>
              <c:f>'work data'!$I$16:$I$27</c:f>
              <c:numCache>
                <c:formatCode>h:mm</c:formatCode>
                <c:ptCount val="12"/>
                <c:pt idx="0">
                  <c:v>0.24097222222222225</c:v>
                </c:pt>
                <c:pt idx="1">
                  <c:v>0.25</c:v>
                </c:pt>
                <c:pt idx="2">
                  <c:v>0.2604166666666668</c:v>
                </c:pt>
                <c:pt idx="3">
                  <c:v>0.27083333333333326</c:v>
                </c:pt>
                <c:pt idx="4">
                  <c:v>0.28125</c:v>
                </c:pt>
                <c:pt idx="5">
                  <c:v>0.2916666666666668</c:v>
                </c:pt>
                <c:pt idx="6">
                  <c:v>0.30208333333333331</c:v>
                </c:pt>
                <c:pt idx="7">
                  <c:v>0.31250000000000006</c:v>
                </c:pt>
                <c:pt idx="8">
                  <c:v>0.32291666666666685</c:v>
                </c:pt>
                <c:pt idx="9">
                  <c:v>0.33333333333333331</c:v>
                </c:pt>
                <c:pt idx="10">
                  <c:v>0.34375</c:v>
                </c:pt>
                <c:pt idx="11">
                  <c:v>0.3541666666666668</c:v>
                </c:pt>
              </c:numCache>
            </c:numRef>
          </c:cat>
          <c:val>
            <c:numRef>
              <c:f>'work data'!$J$16:$J$27</c:f>
              <c:numCache>
                <c:formatCode>General</c:formatCode>
                <c:ptCount val="12"/>
                <c:pt idx="0">
                  <c:v>0</c:v>
                </c:pt>
                <c:pt idx="1">
                  <c:v>23</c:v>
                </c:pt>
                <c:pt idx="2">
                  <c:v>27</c:v>
                </c:pt>
                <c:pt idx="3">
                  <c:v>24</c:v>
                </c:pt>
                <c:pt idx="4">
                  <c:v>23</c:v>
                </c:pt>
                <c:pt idx="5">
                  <c:v>18</c:v>
                </c:pt>
                <c:pt idx="6">
                  <c:v>19</c:v>
                </c:pt>
                <c:pt idx="7">
                  <c:v>21</c:v>
                </c:pt>
                <c:pt idx="8">
                  <c:v>18</c:v>
                </c:pt>
                <c:pt idx="9">
                  <c:v>18</c:v>
                </c:pt>
                <c:pt idx="10">
                  <c:v>20</c:v>
                </c:pt>
                <c:pt idx="11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'work data'!$K$15</c:f>
              <c:strCache>
                <c:ptCount val="1"/>
                <c:pt idx="0">
                  <c:v>Females</c:v>
                </c:pt>
              </c:strCache>
            </c:strRef>
          </c:tx>
          <c:spPr>
            <a:ln w="38100">
              <a:solidFill>
                <a:schemeClr val="tx1"/>
              </a:solidFill>
              <a:prstDash val="dash"/>
            </a:ln>
          </c:spPr>
          <c:marker>
            <c:symbol val="square"/>
            <c:size val="12"/>
            <c:spPr>
              <a:solidFill>
                <a:schemeClr val="tx1"/>
              </a:solidFill>
              <a:ln>
                <a:solidFill>
                  <a:schemeClr val="tx1"/>
                </a:solidFill>
                <a:prstDash val="solid"/>
              </a:ln>
            </c:spPr>
          </c:marker>
          <c:cat>
            <c:numRef>
              <c:f>'work data'!$I$16:$I$27</c:f>
              <c:numCache>
                <c:formatCode>h:mm</c:formatCode>
                <c:ptCount val="12"/>
                <c:pt idx="0">
                  <c:v>0.24097222222222225</c:v>
                </c:pt>
                <c:pt idx="1">
                  <c:v>0.25</c:v>
                </c:pt>
                <c:pt idx="2">
                  <c:v>0.2604166666666668</c:v>
                </c:pt>
                <c:pt idx="3">
                  <c:v>0.27083333333333326</c:v>
                </c:pt>
                <c:pt idx="4">
                  <c:v>0.28125</c:v>
                </c:pt>
                <c:pt idx="5">
                  <c:v>0.2916666666666668</c:v>
                </c:pt>
                <c:pt idx="6">
                  <c:v>0.30208333333333331</c:v>
                </c:pt>
                <c:pt idx="7">
                  <c:v>0.31250000000000006</c:v>
                </c:pt>
                <c:pt idx="8">
                  <c:v>0.32291666666666685</c:v>
                </c:pt>
                <c:pt idx="9">
                  <c:v>0.33333333333333331</c:v>
                </c:pt>
                <c:pt idx="10">
                  <c:v>0.34375</c:v>
                </c:pt>
                <c:pt idx="11">
                  <c:v>0.3541666666666668</c:v>
                </c:pt>
              </c:numCache>
            </c:numRef>
          </c:cat>
          <c:val>
            <c:numRef>
              <c:f>'work data'!$K$16:$K$27</c:f>
              <c:numCache>
                <c:formatCode>General</c:formatCode>
                <c:ptCount val="12"/>
                <c:pt idx="0">
                  <c:v>0</c:v>
                </c:pt>
                <c:pt idx="1">
                  <c:v>2</c:v>
                </c:pt>
                <c:pt idx="2">
                  <c:v>17</c:v>
                </c:pt>
                <c:pt idx="3">
                  <c:v>7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9050496"/>
        <c:axId val="89078016"/>
      </c:lineChart>
      <c:catAx>
        <c:axId val="8905049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20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Time</a:t>
                </a:r>
              </a:p>
            </c:rich>
          </c:tx>
          <c:layout>
            <c:manualLayout>
              <c:xMode val="edge"/>
              <c:yMode val="edge"/>
              <c:x val="0.53607103218646002"/>
              <c:y val="0.90701468189233225"/>
            </c:manualLayout>
          </c:layout>
          <c:overlay val="0"/>
          <c:spPr>
            <a:noFill/>
            <a:ln w="25400">
              <a:noFill/>
            </a:ln>
          </c:spPr>
        </c:title>
        <c:numFmt formatCode="h:mm" sourceLinked="1"/>
        <c:majorTickMark val="out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890780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89078016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4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sz="1400"/>
                  <a:t>Number of birds in view of blinds</a:t>
                </a:r>
              </a:p>
            </c:rich>
          </c:tx>
          <c:layout>
            <c:manualLayout>
              <c:xMode val="edge"/>
              <c:yMode val="edge"/>
              <c:x val="4.3285238623751388E-2"/>
              <c:y val="9.4616639477977202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89050496"/>
        <c:crosses val="autoZero"/>
        <c:crossBetween val="between"/>
      </c:valAx>
      <c:spPr>
        <a:solidFill>
          <a:schemeClr val="bg1"/>
        </a:solidFill>
        <a:ln w="25400">
          <a:solidFill>
            <a:srgbClr val="00000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3398260313614661"/>
          <c:y val="8.6460032626427444E-2"/>
          <c:w val="0.23050121138703819"/>
          <c:h val="0.13152722272781228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254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4977909011373586"/>
          <c:y val="2.2386934090943011E-2"/>
          <c:w val="0.83247661350023561"/>
          <c:h val="0.8947835372949918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'work data'!$H$4</c:f>
              <c:strCache>
                <c:ptCount val="1"/>
                <c:pt idx="0">
                  <c:v>Central</c:v>
                </c:pt>
              </c:strCache>
            </c:strRef>
          </c:tx>
          <c:spPr>
            <a:solidFill>
              <a:sysClr val="windowText" lastClr="000000"/>
            </a:solidFill>
            <a:ln>
              <a:solidFill>
                <a:srgbClr val="000000"/>
              </a:solidFill>
            </a:ln>
          </c:spPr>
          <c:invertIfNegative val="0"/>
          <c:errBars>
            <c:errBarType val="both"/>
            <c:errValType val="cust"/>
            <c:noEndCap val="0"/>
            <c:plus>
              <c:numRef>
                <c:f>'work data'!$J$5:$J$9</c:f>
                <c:numCache>
                  <c:formatCode>General</c:formatCode>
                  <c:ptCount val="5"/>
                  <c:pt idx="0">
                    <c:v>1.4619794461375955</c:v>
                  </c:pt>
                  <c:pt idx="1">
                    <c:v>1.7585483388471068</c:v>
                  </c:pt>
                  <c:pt idx="2">
                    <c:v>2.6496246594401462</c:v>
                  </c:pt>
                  <c:pt idx="3">
                    <c:v>2.478701847398598</c:v>
                  </c:pt>
                  <c:pt idx="4">
                    <c:v>3.743311889347293</c:v>
                  </c:pt>
                </c:numCache>
              </c:numRef>
            </c:plus>
            <c:minus>
              <c:numRef>
                <c:f>'work data'!$J$5:$J$9</c:f>
                <c:numCache>
                  <c:formatCode>General</c:formatCode>
                  <c:ptCount val="5"/>
                  <c:pt idx="0">
                    <c:v>1.4619794461375955</c:v>
                  </c:pt>
                  <c:pt idx="1">
                    <c:v>1.7585483388471068</c:v>
                  </c:pt>
                  <c:pt idx="2">
                    <c:v>2.6496246594401462</c:v>
                  </c:pt>
                  <c:pt idx="3">
                    <c:v>2.478701847398598</c:v>
                  </c:pt>
                  <c:pt idx="4">
                    <c:v>3.743311889347293</c:v>
                  </c:pt>
                </c:numCache>
              </c:numRef>
            </c:minus>
          </c:errBars>
          <c:cat>
            <c:strRef>
              <c:f>'work data'!$G$5:$G$9</c:f>
              <c:strCache>
                <c:ptCount val="5"/>
                <c:pt idx="0">
                  <c:v>Ear flaps</c:v>
                </c:pt>
                <c:pt idx="1">
                  <c:v>Throat sac</c:v>
                </c:pt>
                <c:pt idx="2">
                  <c:v>Head bobs</c:v>
                </c:pt>
                <c:pt idx="3">
                  <c:v>Stamping</c:v>
                </c:pt>
                <c:pt idx="4">
                  <c:v>Claw jump</c:v>
                </c:pt>
              </c:strCache>
            </c:strRef>
          </c:cat>
          <c:val>
            <c:numRef>
              <c:f>'work data'!$H$5:$H$9</c:f>
              <c:numCache>
                <c:formatCode>General</c:formatCode>
                <c:ptCount val="5"/>
                <c:pt idx="0">
                  <c:v>12.875000000000005</c:v>
                </c:pt>
                <c:pt idx="1">
                  <c:v>17.625</c:v>
                </c:pt>
                <c:pt idx="2">
                  <c:v>17.562499999999986</c:v>
                </c:pt>
                <c:pt idx="3">
                  <c:v>12.625</c:v>
                </c:pt>
                <c:pt idx="4">
                  <c:v>12.625</c:v>
                </c:pt>
              </c:numCache>
            </c:numRef>
          </c:val>
        </c:ser>
        <c:ser>
          <c:idx val="1"/>
          <c:order val="1"/>
          <c:tx>
            <c:strRef>
              <c:f>'work data'!$I$4</c:f>
              <c:strCache>
                <c:ptCount val="1"/>
                <c:pt idx="0">
                  <c:v>Peripheral</c:v>
                </c:pt>
              </c:strCache>
            </c:strRef>
          </c:tx>
          <c:spPr>
            <a:solidFill>
              <a:schemeClr val="bg1"/>
            </a:solidFill>
            <a:ln>
              <a:solidFill>
                <a:srgbClr val="000000"/>
              </a:solidFill>
            </a:ln>
          </c:spPr>
          <c:invertIfNegative val="0"/>
          <c:errBars>
            <c:errBarType val="both"/>
            <c:errValType val="cust"/>
            <c:noEndCap val="0"/>
            <c:plus>
              <c:numRef>
                <c:f>'work data'!$K$5:$K$9</c:f>
                <c:numCache>
                  <c:formatCode>General</c:formatCode>
                  <c:ptCount val="5"/>
                  <c:pt idx="0">
                    <c:v>2.128625319692028</c:v>
                  </c:pt>
                  <c:pt idx="1">
                    <c:v>2.3808193240132187</c:v>
                  </c:pt>
                  <c:pt idx="2">
                    <c:v>3.0313060332549138</c:v>
                  </c:pt>
                  <c:pt idx="3">
                    <c:v>2.7006279696852609</c:v>
                  </c:pt>
                  <c:pt idx="4">
                    <c:v>0.8371372874587184</c:v>
                  </c:pt>
                </c:numCache>
              </c:numRef>
            </c:plus>
            <c:minus>
              <c:numRef>
                <c:f>'work data'!$K$5:$K$9</c:f>
                <c:numCache>
                  <c:formatCode>General</c:formatCode>
                  <c:ptCount val="5"/>
                  <c:pt idx="0">
                    <c:v>2.128625319692028</c:v>
                  </c:pt>
                  <c:pt idx="1">
                    <c:v>2.3808193240132187</c:v>
                  </c:pt>
                  <c:pt idx="2">
                    <c:v>3.0313060332549138</c:v>
                  </c:pt>
                  <c:pt idx="3">
                    <c:v>2.7006279696852609</c:v>
                  </c:pt>
                  <c:pt idx="4">
                    <c:v>0.8371372874587184</c:v>
                  </c:pt>
                </c:numCache>
              </c:numRef>
            </c:minus>
          </c:errBars>
          <c:cat>
            <c:strRef>
              <c:f>'work data'!$G$5:$G$9</c:f>
              <c:strCache>
                <c:ptCount val="5"/>
                <c:pt idx="0">
                  <c:v>Ear flaps</c:v>
                </c:pt>
                <c:pt idx="1">
                  <c:v>Throat sac</c:v>
                </c:pt>
                <c:pt idx="2">
                  <c:v>Head bobs</c:v>
                </c:pt>
                <c:pt idx="3">
                  <c:v>Stamping</c:v>
                </c:pt>
                <c:pt idx="4">
                  <c:v>Claw jump</c:v>
                </c:pt>
              </c:strCache>
            </c:strRef>
          </c:cat>
          <c:val>
            <c:numRef>
              <c:f>'work data'!$I$5:$I$9</c:f>
              <c:numCache>
                <c:formatCode>General</c:formatCode>
                <c:ptCount val="5"/>
                <c:pt idx="0">
                  <c:v>13.75</c:v>
                </c:pt>
                <c:pt idx="1">
                  <c:v>17.55</c:v>
                </c:pt>
                <c:pt idx="2">
                  <c:v>13.75</c:v>
                </c:pt>
                <c:pt idx="3">
                  <c:v>12.350000000000005</c:v>
                </c:pt>
                <c:pt idx="4">
                  <c:v>5.1499999999999995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490368"/>
        <c:axId val="130491904"/>
      </c:barChart>
      <c:catAx>
        <c:axId val="1304903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1400"/>
            </a:pPr>
            <a:endParaRPr lang="en-US"/>
          </a:p>
        </c:txPr>
        <c:crossAx val="130491904"/>
        <c:crosses val="autoZero"/>
        <c:auto val="1"/>
        <c:lblAlgn val="ctr"/>
        <c:lblOffset val="100"/>
        <c:noMultiLvlLbl val="0"/>
      </c:catAx>
      <c:valAx>
        <c:axId val="130491904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2800" b="0"/>
                </a:pPr>
                <a:r>
                  <a:rPr lang="en-US" sz="2800" b="0"/>
                  <a:t>Frequency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1600"/>
            </a:pPr>
            <a:endParaRPr lang="en-US"/>
          </a:p>
        </c:txPr>
        <c:crossAx val="1304903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0301900723948076"/>
          <c:y val="7.4375961155886197E-2"/>
          <c:w val="0.31743270072010232"/>
          <c:h val="0.18180885766970248"/>
        </c:manualLayout>
      </c:layout>
      <c:overlay val="0"/>
      <c:txPr>
        <a:bodyPr/>
        <a:lstStyle/>
        <a:p>
          <a:pPr>
            <a:defRPr sz="2400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MSUM</Company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Wisenden</dc:creator>
  <cp:lastModifiedBy>MSUM</cp:lastModifiedBy>
  <cp:revision>2</cp:revision>
  <dcterms:created xsi:type="dcterms:W3CDTF">2013-04-10T16:10:00Z</dcterms:created>
  <dcterms:modified xsi:type="dcterms:W3CDTF">2013-04-10T16:10:00Z</dcterms:modified>
</cp:coreProperties>
</file>